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p>
    <w:p>
      <w:pPr>
        <w:spacing w:before="760" w:after="200"/>
      </w:pPr>
      <w:r>
        <w:rPr>
          <w:rFonts w:ascii="Courier New" w:hAnsi="Courier New" w:eastAsia="Courier New"/>
          <w:b/>
          <w:color w:val="258C8B"/>
          <w:sz w:val="22"/>
        </w:rPr>
        <w:t>PAYOUT LENS</w:t>
      </w:r>
    </w:p>
    <w:p>
      <w:pPr>
        <w:spacing w:after="360"/>
      </w:pPr>
      <w:r>
        <w:rPr>
          <w:rFonts w:ascii="Arial" w:hAnsi="Arial" w:eastAsia="Arial"/>
          <w:b/>
          <w:color w:val="10253F"/>
          <w:sz w:val="76"/>
        </w:rPr>
        <w:t>See where your</w:t>
        <w:br/>
        <w:t>TikTok Shop payout went.</w:t>
      </w:r>
    </w:p>
    <w:p>
      <w:pPr>
        <w:spacing w:after="480"/>
      </w:pPr>
      <w:r>
        <w:rPr>
          <w:rFonts w:ascii="Arial" w:hAnsi="Arial" w:eastAsia="Arial"/>
          <w:color w:val="245A73"/>
          <w:sz w:val="30"/>
        </w:rPr>
        <w:t>A plain-English screenshot guide for the standalone, local settlement explainer.</w:t>
      </w:r>
    </w:p>
    <w:tbl>
      <w:tblPr>
        <w:tblW w:type="auto" w:w="0"/>
        <w:jc w:val="left"/>
        <w:tblLayout w:type="fixed"/>
        <w:tblLook w:firstColumn="1" w:firstRow="1" w:lastColumn="0" w:lastRow="0" w:noHBand="0" w:noVBand="1" w:val="04A0"/>
        <w:tblBorders>
          <w:top w:val="single" w:sz="6" w:color="CADBE5"/>
          <w:left w:val="single" w:sz="6" w:color="CADBE5"/>
          <w:bottom w:val="single" w:sz="6" w:color="CADBE5"/>
          <w:right w:val="single" w:sz="6" w:color="CADBE5"/>
          <w:insideH w:val="single" w:sz="6" w:color="CADBE5"/>
          <w:insideV w:val="single" w:sz="6" w:color="CADBE5"/>
        </w:tblBorders>
      </w:tblPr>
      <w:tblGrid>
        <w:gridCol w:w="2541"/>
        <w:gridCol w:w="2541"/>
        <w:gridCol w:w="2541"/>
        <w:gridCol w:w="2541"/>
      </w:tblGrid>
      <w:tr>
        <w:tc>
          <w:tcPr>
            <w:tcW w:type="dxa" w:w="2376"/>
            <w:shd w:fill="EEF6FA"/>
            <w:tcMar>
              <w:top w:w="90" w:type="dxa"/>
              <w:start w:w="90" w:type="dxa"/>
              <w:bottom w:w="90" w:type="dxa"/>
              <w:end w:w="90" w:type="dxa"/>
            </w:tcMar>
            <w:vAlign w:val="center"/>
          </w:tcPr>
          <w:p>
            <w:pPr>
              <w:jc w:val="center"/>
            </w:pPr>
            <w:r>
              <w:rPr>
                <w:rFonts w:ascii="Courier New" w:hAnsi="Courier New" w:eastAsia="Courier New"/>
                <w:b/>
                <w:color w:val="245A73"/>
                <w:sz w:val="15"/>
              </w:rPr>
              <w:t>ONE HTML FILE</w:t>
            </w:r>
          </w:p>
        </w:tc>
        <w:tc>
          <w:tcPr>
            <w:tcW w:type="dxa" w:w="2232"/>
            <w:shd w:fill="EEF6FA"/>
            <w:tcMar>
              <w:top w:w="90" w:type="dxa"/>
              <w:start w:w="90" w:type="dxa"/>
              <w:bottom w:w="90" w:type="dxa"/>
              <w:end w:w="90" w:type="dxa"/>
            </w:tcMar>
            <w:vAlign w:val="center"/>
          </w:tcPr>
          <w:p>
            <w:pPr>
              <w:jc w:val="center"/>
            </w:pPr>
            <w:r>
              <w:rPr>
                <w:rFonts w:ascii="Courier New" w:hAnsi="Courier New" w:eastAsia="Courier New"/>
                <w:b/>
                <w:color w:val="245A73"/>
                <w:sz w:val="15"/>
              </w:rPr>
              <w:t>NO PLUGINS</w:t>
            </w:r>
          </w:p>
        </w:tc>
        <w:tc>
          <w:tcPr>
            <w:tcW w:type="dxa" w:w="2232"/>
            <w:shd w:fill="EEF6FA"/>
            <w:tcMar>
              <w:top w:w="90" w:type="dxa"/>
              <w:start w:w="90" w:type="dxa"/>
              <w:bottom w:w="90" w:type="dxa"/>
              <w:end w:w="90" w:type="dxa"/>
            </w:tcMar>
            <w:vAlign w:val="center"/>
          </w:tcPr>
          <w:p>
            <w:pPr>
              <w:jc w:val="center"/>
            </w:pPr>
            <w:r>
              <w:rPr>
                <w:rFonts w:ascii="Courier New" w:hAnsi="Courier New" w:eastAsia="Courier New"/>
                <w:b/>
                <w:color w:val="245A73"/>
                <w:sz w:val="15"/>
              </w:rPr>
              <w:t>NO LOGIN</w:t>
            </w:r>
          </w:p>
        </w:tc>
        <w:tc>
          <w:tcPr>
            <w:tcW w:type="dxa" w:w="2232"/>
            <w:shd w:fill="EEF6FA"/>
            <w:tcMar>
              <w:top w:w="90" w:type="dxa"/>
              <w:start w:w="90" w:type="dxa"/>
              <w:bottom w:w="90" w:type="dxa"/>
              <w:end w:w="90" w:type="dxa"/>
            </w:tcMar>
            <w:vAlign w:val="center"/>
          </w:tcPr>
          <w:p>
            <w:pPr>
              <w:jc w:val="center"/>
            </w:pPr>
            <w:r>
              <w:rPr>
                <w:rFonts w:ascii="Courier New" w:hAnsi="Courier New" w:eastAsia="Courier New"/>
                <w:b/>
                <w:color w:val="245A73"/>
                <w:sz w:val="15"/>
              </w:rPr>
              <w:t>NO UPLOAD</w:t>
            </w:r>
          </w:p>
        </w:tc>
      </w:tr>
    </w:tbl>
    <w:p>
      <w:pPr>
        <w:spacing w:after="360"/>
      </w:pPr>
    </w:p>
    <w:tbl>
      <w:tblPr>
        <w:tblW w:type="auto" w:w="0"/>
        <w:jc w:val="center"/>
        <w:tblLayout w:type="fixed"/>
        <w:tblLook w:firstColumn="1" w:firstRow="1" w:lastColumn="0" w:lastRow="0" w:noHBand="0" w:noVBand="1" w:val="04A0"/>
        <w:tblBorders>
          <w:top w:val="single" w:sz="0" w:color="E8F7F1"/>
          <w:left w:val="single" w:sz="0" w:color="E8F7F1"/>
          <w:bottom w:val="single" w:sz="0" w:color="E8F7F1"/>
          <w:right w:val="single" w:sz="0" w:color="E8F7F1"/>
          <w:insideH w:val="single" w:sz="0" w:color="E8F7F1"/>
          <w:insideV w:val="single" w:sz="0" w:color="E8F7F1"/>
        </w:tblBorders>
      </w:tblPr>
      <w:tblGrid>
        <w:gridCol w:w="173"/>
        <w:gridCol w:w="9648"/>
      </w:tblGrid>
      <w:tr>
        <w:tc>
          <w:tcPr>
            <w:tcW w:type="dxa" w:w="5083"/>
            <w:shd w:fill="258C8B"/>
            <w:tcMar>
              <w:top w:w="0" w:type="dxa"/>
              <w:start w:w="0" w:type="dxa"/>
              <w:bottom w:w="0" w:type="dxa"/>
              <w:end w:w="0" w:type="dxa"/>
            </w:tcMar>
          </w:tcPr>
          <w:p/>
        </w:tc>
        <w:tc>
          <w:tcPr>
            <w:tcW w:type="dxa" w:w="5083"/>
            <w:shd w:fill="E8F7F1"/>
            <w:tcMar>
              <w:top w:w="150" w:type="dxa"/>
              <w:start w:w="180" w:type="dxa"/>
              <w:bottom w:w="150" w:type="dxa"/>
              <w:end w:w="180" w:type="dxa"/>
            </w:tcMar>
          </w:tcPr>
          <w:p>
            <w:pPr>
              <w:spacing w:after="60"/>
            </w:pPr>
            <w:r>
              <w:rPr>
                <w:rFonts w:ascii="Arial" w:hAnsi="Arial" w:eastAsia="Arial"/>
                <w:b/>
                <w:color w:val="10253F"/>
                <w:sz w:val="20"/>
              </w:rPr>
              <w:t>Fastest way to learn it</w:t>
            </w:r>
          </w:p>
          <w:p>
            <w:pPr>
              <w:spacing w:after="0"/>
            </w:pPr>
            <w:r>
              <w:rPr>
                <w:rFonts w:ascii="Arial" w:hAnsi="Arial" w:eastAsia="Arial"/>
                <w:color w:val="526B7C"/>
                <w:sz w:val="19"/>
              </w:rPr>
              <w:t>Open the HTML file and click Load a fictional payout demo. The complete reveal appears in seconds without using real shop data.</w:t>
            </w:r>
          </w:p>
        </w:tc>
      </w:tr>
    </w:tbl>
    <w:p>
      <w:pPr>
        <w:spacing w:after="0"/>
      </w:pPr>
    </w:p>
    <w:p>
      <w:pPr>
        <w:spacing w:before="1100"/>
      </w:pPr>
      <w:r>
        <w:rPr>
          <w:rFonts w:ascii="Courier New" w:hAnsi="Courier New" w:eastAsia="Courier New"/>
          <w:b/>
          <w:color w:val="526B7C"/>
          <w:sz w:val="17"/>
        </w:rPr>
        <w:t>USER GUIDE  /  RELEASE 0.1.0  /  AUGUST 1, 2026</w:t>
      </w:r>
      <w:r>
        <w:br w:type="page"/>
      </w:r>
    </w:p>
    <w:p>
      <w:pPr>
        <w:keepNext/>
        <w:spacing w:after="100"/>
      </w:pPr>
      <w:r>
        <w:rPr>
          <w:rFonts w:ascii="Courier New" w:hAnsi="Courier New" w:eastAsia="Courier New"/>
          <w:b/>
          <w:color w:val="258C8B"/>
          <w:sz w:val="17"/>
        </w:rPr>
        <w:t>START HERE</w:t>
      </w:r>
    </w:p>
    <w:p>
      <w:pPr>
        <w:pStyle w:val="Heading1"/>
        <w:keepNext/>
      </w:pPr>
      <w:r>
        <w:t>Use the right file</w:t>
      </w:r>
    </w:p>
    <w:p>
      <w:r>
        <w:t>Payout Lens turns a TikTok Shop settlement workbook into a trail from gross sales to settlement to recorded payout. It highlights deductions, adjustments, reserves, and rows worth checking in Seller Center.</w:t>
      </w:r>
    </w:p>
    <w:p>
      <w:pPr>
        <w:pStyle w:val="ListBullet"/>
      </w:pPr>
      <w:r>
        <w:t>Use a TikTok Shop settlement report in .xlsx format.</w:t>
      </w:r>
    </w:p>
    <w:p>
      <w:pPr>
        <w:pStyle w:val="ListBullet"/>
      </w:pPr>
      <w:r>
        <w:t>The workbook must contain an Order details tab.</w:t>
      </w:r>
    </w:p>
    <w:p>
      <w:pPr>
        <w:pStyle w:val="ListBullet"/>
      </w:pPr>
      <w:r>
        <w:t>Maximum file size is 25 MB.</w:t>
      </w:r>
    </w:p>
    <w:p>
      <w:pPr>
        <w:pStyle w:val="ListBullet"/>
      </w:pPr>
      <w:r>
        <w:t>CSV, PDF, legacy .xls, Orders reports, and Sales reports are not accepted.</w:t>
      </w:r>
    </w:p>
    <w:p>
      <w:pPr>
        <w:spacing w:before="100" w:after="100"/>
        <w:jc w:val="center"/>
      </w:pPr>
      <w:r>
        <w:drawing>
          <wp:inline xmlns:a="http://schemas.openxmlformats.org/drawingml/2006/main" xmlns:pic="http://schemas.openxmlformats.org/drawingml/2006/picture">
            <wp:extent cx="6263640" cy="3523298"/>
            <wp:docPr id="1" name="Picture 1"/>
            <wp:cNvGraphicFramePr>
              <a:graphicFrameLocks noChangeAspect="1"/>
            </wp:cNvGraphicFramePr>
            <a:graphic>
              <a:graphicData uri="http://schemas.openxmlformats.org/drawingml/2006/picture">
                <pic:pic>
                  <pic:nvPicPr>
                    <pic:cNvPr id="0" name="01-start-here.jpg"/>
                    <pic:cNvPicPr/>
                  </pic:nvPicPr>
                  <pic:blipFill>
                    <a:blip r:embed="rId11"/>
                    <a:stretch>
                      <a:fillRect/>
                    </a:stretch>
                  </pic:blipFill>
                  <pic:spPr>
                    <a:xfrm>
                      <a:off x="0" y="0"/>
                      <a:ext cx="6263640" cy="3523298"/>
                    </a:xfrm>
                    <a:prstGeom prst="rect"/>
                  </pic:spPr>
                </pic:pic>
              </a:graphicData>
            </a:graphic>
          </wp:inline>
        </w:drawing>
      </w:r>
    </w:p>
    <w:p>
      <w:pPr>
        <w:spacing w:after="160"/>
        <w:jc w:val="center"/>
      </w:pPr>
      <w:r>
        <w:rPr>
          <w:rFonts w:ascii="Arial" w:hAnsi="Arial" w:eastAsia="Arial"/>
          <w:i/>
          <w:color w:val="526B7C"/>
          <w:sz w:val="17"/>
        </w:rPr>
        <w:t>The opening screen names the exact input beside the file chooser. No plugin, login, or cloud upload is required.</w:t>
      </w:r>
    </w:p>
    <w:tbl>
      <w:tblPr>
        <w:tblW w:type="auto" w:w="0"/>
        <w:jc w:val="center"/>
        <w:tblLayout w:type="fixed"/>
        <w:tblLook w:firstColumn="1" w:firstRow="1" w:lastColumn="0" w:lastRow="0" w:noHBand="0" w:noVBand="1" w:val="04A0"/>
        <w:tblBorders>
          <w:top w:val="single" w:sz="0" w:color="FBEDEF"/>
          <w:left w:val="single" w:sz="0" w:color="FBEDEF"/>
          <w:bottom w:val="single" w:sz="0" w:color="FBEDEF"/>
          <w:right w:val="single" w:sz="0" w:color="FBEDEF"/>
          <w:insideH w:val="single" w:sz="0" w:color="FBEDEF"/>
          <w:insideV w:val="single" w:sz="0" w:color="FBEDEF"/>
        </w:tblBorders>
      </w:tblPr>
      <w:tblGrid>
        <w:gridCol w:w="173"/>
        <w:gridCol w:w="9648"/>
      </w:tblGrid>
      <w:tr>
        <w:tc>
          <w:tcPr>
            <w:tcW w:type="dxa" w:w="5083"/>
            <w:shd w:fill="C95E67"/>
            <w:tcMar>
              <w:top w:w="0" w:type="dxa"/>
              <w:start w:w="0" w:type="dxa"/>
              <w:bottom w:w="0" w:type="dxa"/>
              <w:end w:w="0" w:type="dxa"/>
            </w:tcMar>
          </w:tcPr>
          <w:p/>
        </w:tc>
        <w:tc>
          <w:tcPr>
            <w:tcW w:type="dxa" w:w="5083"/>
            <w:shd w:fill="FBEDEF"/>
            <w:tcMar>
              <w:top w:w="150" w:type="dxa"/>
              <w:start w:w="180" w:type="dxa"/>
              <w:bottom w:w="150" w:type="dxa"/>
              <w:end w:w="180" w:type="dxa"/>
            </w:tcMar>
          </w:tcPr>
          <w:p>
            <w:pPr>
              <w:spacing w:after="60"/>
            </w:pPr>
            <w:r>
              <w:rPr>
                <w:rFonts w:ascii="Arial" w:hAnsi="Arial" w:eastAsia="Arial"/>
                <w:b/>
                <w:color w:val="10253F"/>
                <w:sz w:val="20"/>
              </w:rPr>
              <w:t>CSV is output only</w:t>
            </w:r>
          </w:p>
          <w:p>
            <w:pPr>
              <w:spacing w:after="0"/>
            </w:pPr>
            <w:r>
              <w:rPr>
                <w:rFonts w:ascii="Arial" w:hAnsi="Arial" w:eastAsia="Arial"/>
                <w:color w:val="526B7C"/>
                <w:sz w:val="19"/>
              </w:rPr>
              <w:t>Payout Lens can create clean CSV summaries after analysis, but the input must be the TikTok Shop settlement workbook in .xlsx format.</w:t>
            </w:r>
          </w:p>
        </w:tc>
      </w:tr>
    </w:tbl>
    <w:p>
      <w:pPr>
        <w:spacing w:after="0"/>
      </w:pPr>
    </w:p>
    <w:p>
      <w:r>
        <w:br w:type="page"/>
      </w:r>
    </w:p>
    <w:p>
      <w:pPr>
        <w:keepNext/>
        <w:spacing w:after="100"/>
      </w:pPr>
      <w:r>
        <w:rPr>
          <w:rFonts w:ascii="Courier New" w:hAnsi="Courier New" w:eastAsia="Courier New"/>
          <w:b/>
          <w:color w:val="258C8B"/>
          <w:sz w:val="17"/>
        </w:rPr>
        <w:t>FICTIONAL DEMO</w:t>
      </w:r>
    </w:p>
    <w:p>
      <w:pPr>
        <w:pStyle w:val="Heading1"/>
        <w:keepNext/>
      </w:pPr>
      <w:r>
        <w:t>Learn the screen before using real data</w:t>
      </w:r>
    </w:p>
    <w:tbl>
      <w:tblPr>
        <w:tblW w:type="auto" w:w="0"/>
        <w:jc w:val="left"/>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47"/>
        <w:gridCol w:w="9245"/>
      </w:tblGrid>
      <w:tr>
        <w:tc>
          <w:tcPr>
            <w:tcW w:type="dxa" w:w="547"/>
            <w:tcMar>
              <w:top w:w="45" w:type="dxa"/>
              <w:start w:w="0" w:type="dxa"/>
              <w:bottom w:w="45" w:type="dxa"/>
              <w:end w:w="40" w:type="dxa"/>
            </w:tcMar>
            <w:vAlign w:val="top"/>
          </w:tcPr>
          <w:p>
            <w:pPr>
              <w:jc w:val="left"/>
            </w:pPr>
            <w:r>
              <w:rPr>
                <w:rFonts w:ascii="Courier New" w:hAnsi="Courier New" w:eastAsia="Courier New"/>
                <w:b/>
                <w:color w:val="258C8B"/>
              </w:rPr>
              <w:t>1.</w:t>
            </w:r>
          </w:p>
        </w:tc>
        <w:tc>
          <w:tcPr>
            <w:tcW w:type="dxa" w:w="9245"/>
            <w:tcMar>
              <w:top w:w="45" w:type="dxa"/>
              <w:start w:w="0" w:type="dxa"/>
              <w:bottom w:w="45" w:type="dxa"/>
              <w:end w:w="0" w:type="dxa"/>
            </w:tcMar>
            <w:vAlign w:val="top"/>
          </w:tcPr>
          <w:p>
            <w:r>
              <w:t>Open Payout-Lens.html in a modern browser.</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2.</w:t>
            </w:r>
          </w:p>
        </w:tc>
        <w:tc>
          <w:tcPr>
            <w:tcW w:type="dxa" w:w="9245"/>
            <w:tcMar>
              <w:top w:w="45" w:type="dxa"/>
              <w:start w:w="0" w:type="dxa"/>
              <w:bottom w:w="45" w:type="dxa"/>
              <w:end w:w="0" w:type="dxa"/>
            </w:tcMar>
            <w:vAlign w:val="top"/>
          </w:tcPr>
          <w:p>
            <w:r>
              <w:t>Click Load a fictional payout demo.</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3.</w:t>
            </w:r>
          </w:p>
        </w:tc>
        <w:tc>
          <w:tcPr>
            <w:tcW w:type="dxa" w:w="9245"/>
            <w:tcMar>
              <w:top w:w="45" w:type="dxa"/>
              <w:start w:w="0" w:type="dxa"/>
              <w:bottom w:w="45" w:type="dxa"/>
              <w:end w:w="0" w:type="dxa"/>
            </w:tcMar>
            <w:vAlign w:val="top"/>
          </w:tcPr>
          <w:p>
            <w:r>
              <w:t>Look for the FICTIONAL DEMO label at the top of the result.</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4.</w:t>
            </w:r>
          </w:p>
        </w:tc>
        <w:tc>
          <w:tcPr>
            <w:tcW w:type="dxa" w:w="9245"/>
            <w:tcMar>
              <w:top w:w="45" w:type="dxa"/>
              <w:start w:w="0" w:type="dxa"/>
              <w:bottom w:w="45" w:type="dxa"/>
              <w:end w:w="0" w:type="dxa"/>
            </w:tcMar>
            <w:vAlign w:val="top"/>
          </w:tcPr>
          <w:p>
            <w:r>
              <w:t>Follow the payout trail, deductions, adjustment labels, and Review Queue.</w:t>
            </w:r>
          </w:p>
        </w:tc>
      </w:tr>
    </w:tbl>
    <w:p>
      <w:pPr>
        <w:spacing w:before="100" w:after="100"/>
        <w:jc w:val="center"/>
      </w:pPr>
      <w:r>
        <w:drawing>
          <wp:inline xmlns:a="http://schemas.openxmlformats.org/drawingml/2006/main" xmlns:pic="http://schemas.openxmlformats.org/drawingml/2006/picture">
            <wp:extent cx="6263640" cy="3523298"/>
            <wp:docPr id="2" name="Picture 2"/>
            <wp:cNvGraphicFramePr>
              <a:graphicFrameLocks noChangeAspect="1"/>
            </wp:cNvGraphicFramePr>
            <a:graphic>
              <a:graphicData uri="http://schemas.openxmlformats.org/drawingml/2006/picture">
                <pic:pic>
                  <pic:nvPicPr>
                    <pic:cNvPr id="0" name="02-demo-overview.jpg"/>
                    <pic:cNvPicPr/>
                  </pic:nvPicPr>
                  <pic:blipFill>
                    <a:blip r:embed="rId12"/>
                    <a:stretch>
                      <a:fillRect/>
                    </a:stretch>
                  </pic:blipFill>
                  <pic:spPr>
                    <a:xfrm>
                      <a:off x="0" y="0"/>
                      <a:ext cx="6263640" cy="3523298"/>
                    </a:xfrm>
                    <a:prstGeom prst="rect"/>
                  </pic:spPr>
                </pic:pic>
              </a:graphicData>
            </a:graphic>
          </wp:inline>
        </w:drawing>
      </w:r>
    </w:p>
    <w:p>
      <w:pPr>
        <w:spacing w:after="160"/>
        <w:jc w:val="center"/>
      </w:pPr>
      <w:r>
        <w:rPr>
          <w:rFonts w:ascii="Arial" w:hAnsi="Arial" w:eastAsia="Arial"/>
          <w:i/>
          <w:color w:val="526B7C"/>
          <w:sz w:val="17"/>
        </w:rPr>
        <w:t>The fictional reveal shows the recorded payout, reserve, order count, period, payout trail, and largest deductions.</w:t>
      </w:r>
    </w:p>
    <w:tbl>
      <w:tblPr>
        <w:tblW w:type="auto" w:w="0"/>
        <w:jc w:val="center"/>
        <w:tblLayout w:type="fixed"/>
        <w:tblLook w:firstColumn="1" w:firstRow="1" w:lastColumn="0" w:lastRow="0" w:noHBand="0" w:noVBand="1" w:val="04A0"/>
        <w:tblBorders>
          <w:top w:val="single" w:sz="0" w:color="E8F7F1"/>
          <w:left w:val="single" w:sz="0" w:color="E8F7F1"/>
          <w:bottom w:val="single" w:sz="0" w:color="E8F7F1"/>
          <w:right w:val="single" w:sz="0" w:color="E8F7F1"/>
          <w:insideH w:val="single" w:sz="0" w:color="E8F7F1"/>
          <w:insideV w:val="single" w:sz="0" w:color="E8F7F1"/>
        </w:tblBorders>
      </w:tblPr>
      <w:tblGrid>
        <w:gridCol w:w="173"/>
        <w:gridCol w:w="9648"/>
      </w:tblGrid>
      <w:tr>
        <w:tc>
          <w:tcPr>
            <w:tcW w:type="dxa" w:w="5083"/>
            <w:shd w:fill="258C8B"/>
            <w:tcMar>
              <w:top w:w="0" w:type="dxa"/>
              <w:start w:w="0" w:type="dxa"/>
              <w:bottom w:w="0" w:type="dxa"/>
              <w:end w:w="0" w:type="dxa"/>
            </w:tcMar>
          </w:tcPr>
          <w:p/>
        </w:tc>
        <w:tc>
          <w:tcPr>
            <w:tcW w:type="dxa" w:w="5083"/>
            <w:shd w:fill="E8F7F1"/>
            <w:tcMar>
              <w:top w:w="150" w:type="dxa"/>
              <w:start w:w="180" w:type="dxa"/>
              <w:bottom w:w="150" w:type="dxa"/>
              <w:end w:w="180" w:type="dxa"/>
            </w:tcMar>
          </w:tcPr>
          <w:p>
            <w:pPr>
              <w:spacing w:after="60"/>
            </w:pPr>
            <w:r>
              <w:rPr>
                <w:rFonts w:ascii="Arial" w:hAnsi="Arial" w:eastAsia="Arial"/>
                <w:b/>
                <w:color w:val="10253F"/>
                <w:sz w:val="20"/>
              </w:rPr>
              <w:t>Safe for public demos</w:t>
            </w:r>
          </w:p>
          <w:p>
            <w:pPr>
              <w:spacing w:after="0"/>
            </w:pPr>
            <w:r>
              <w:rPr>
                <w:rFonts w:ascii="Arial" w:hAnsi="Arial" w:eastAsia="Arial"/>
                <w:color w:val="526B7C"/>
                <w:sz w:val="19"/>
              </w:rPr>
              <w:t>Use the fictional demo for screenshots and videos. Do not record real seller IDs, payment IDs, order IDs, bank details, or customer data.</w:t>
            </w:r>
          </w:p>
        </w:tc>
      </w:tr>
    </w:tbl>
    <w:p>
      <w:pPr>
        <w:spacing w:after="0"/>
      </w:pPr>
    </w:p>
    <w:p>
      <w:r>
        <w:br w:type="page"/>
      </w:r>
    </w:p>
    <w:p>
      <w:pPr>
        <w:keepNext/>
        <w:spacing w:after="100"/>
      </w:pPr>
      <w:r>
        <w:rPr>
          <w:rFonts w:ascii="Courier New" w:hAnsi="Courier New" w:eastAsia="Courier New"/>
          <w:b/>
          <w:color w:val="258C8B"/>
          <w:sz w:val="17"/>
        </w:rPr>
        <w:t>REAL WORKBOOK</w:t>
      </w:r>
    </w:p>
    <w:p>
      <w:pPr>
        <w:pStyle w:val="Heading1"/>
        <w:keepNext/>
      </w:pPr>
      <w:r>
        <w:t>Analyze your settlement report</w:t>
      </w:r>
    </w:p>
    <w:tbl>
      <w:tblPr>
        <w:tblW w:type="auto" w:w="0"/>
        <w:jc w:val="left"/>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47"/>
        <w:gridCol w:w="9245"/>
      </w:tblGrid>
      <w:tr>
        <w:tc>
          <w:tcPr>
            <w:tcW w:type="dxa" w:w="547"/>
            <w:tcMar>
              <w:top w:w="45" w:type="dxa"/>
              <w:start w:w="0" w:type="dxa"/>
              <w:bottom w:w="45" w:type="dxa"/>
              <w:end w:w="40" w:type="dxa"/>
            </w:tcMar>
            <w:vAlign w:val="top"/>
          </w:tcPr>
          <w:p>
            <w:pPr>
              <w:jc w:val="left"/>
            </w:pPr>
            <w:r>
              <w:rPr>
                <w:rFonts w:ascii="Courier New" w:hAnsi="Courier New" w:eastAsia="Courier New"/>
                <w:b/>
                <w:color w:val="258C8B"/>
              </w:rPr>
              <w:t>1.</w:t>
            </w:r>
          </w:p>
        </w:tc>
        <w:tc>
          <w:tcPr>
            <w:tcW w:type="dxa" w:w="9245"/>
            <w:tcMar>
              <w:top w:w="45" w:type="dxa"/>
              <w:start w:w="0" w:type="dxa"/>
              <w:bottom w:w="45" w:type="dxa"/>
              <w:end w:w="0" w:type="dxa"/>
            </w:tcMar>
            <w:vAlign w:val="top"/>
          </w:tcPr>
          <w:p>
            <w:r>
              <w:t>In TikTok Shop Seller Center, open Finances &gt; Statements or Payouts &gt; Export.</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2.</w:t>
            </w:r>
          </w:p>
        </w:tc>
        <w:tc>
          <w:tcPr>
            <w:tcW w:type="dxa" w:w="9245"/>
            <w:tcMar>
              <w:top w:w="45" w:type="dxa"/>
              <w:start w:w="0" w:type="dxa"/>
              <w:bottom w:w="45" w:type="dxa"/>
              <w:end w:w="0" w:type="dxa"/>
            </w:tcMar>
            <w:vAlign w:val="top"/>
          </w:tcPr>
          <w:p>
            <w:r>
              <w:t>Choose a date range and download the settlement report.</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3.</w:t>
            </w:r>
          </w:p>
        </w:tc>
        <w:tc>
          <w:tcPr>
            <w:tcW w:type="dxa" w:w="9245"/>
            <w:tcMar>
              <w:top w:w="45" w:type="dxa"/>
              <w:start w:w="0" w:type="dxa"/>
              <w:bottom w:w="45" w:type="dxa"/>
              <w:end w:w="0" w:type="dxa"/>
            </w:tcMar>
            <w:vAlign w:val="top"/>
          </w:tcPr>
          <w:p>
            <w:r>
              <w:t>Open the .xlsx workbook once and confirm it contains an Order details tab.</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4.</w:t>
            </w:r>
          </w:p>
        </w:tc>
        <w:tc>
          <w:tcPr>
            <w:tcW w:type="dxa" w:w="9245"/>
            <w:tcMar>
              <w:top w:w="45" w:type="dxa"/>
              <w:start w:w="0" w:type="dxa"/>
              <w:bottom w:w="45" w:type="dxa"/>
              <w:end w:w="0" w:type="dxa"/>
            </w:tcMar>
            <w:vAlign w:val="top"/>
          </w:tcPr>
          <w:p>
            <w:r>
              <w:t>Drag the workbook onto Payout Lens, or click Choose .xlsx settlement report.</w:t>
            </w:r>
          </w:p>
        </w:tc>
      </w:tr>
      <w:tr>
        <w:tc>
          <w:tcPr>
            <w:tcW w:type="dxa" w:w="547"/>
            <w:tcMar>
              <w:top w:w="45" w:type="dxa"/>
              <w:start w:w="0" w:type="dxa"/>
              <w:bottom w:w="45" w:type="dxa"/>
              <w:end w:w="40" w:type="dxa"/>
            </w:tcMar>
            <w:vAlign w:val="top"/>
          </w:tcPr>
          <w:p>
            <w:pPr>
              <w:jc w:val="left"/>
            </w:pPr>
            <w:r>
              <w:rPr>
                <w:rFonts w:ascii="Courier New" w:hAnsi="Courier New" w:eastAsia="Courier New"/>
                <w:b/>
                <w:color w:val="258C8B"/>
              </w:rPr>
              <w:t>5.</w:t>
            </w:r>
          </w:p>
        </w:tc>
        <w:tc>
          <w:tcPr>
            <w:tcW w:type="dxa" w:w="9245"/>
            <w:tcMar>
              <w:top w:w="45" w:type="dxa"/>
              <w:start w:w="0" w:type="dxa"/>
              <w:bottom w:w="45" w:type="dxa"/>
              <w:end w:w="0" w:type="dxa"/>
            </w:tcMar>
            <w:vAlign w:val="top"/>
          </w:tcPr>
          <w:p>
            <w:r>
              <w:t>The workbook is read locally and the result appears automatically.</w:t>
            </w:r>
          </w:p>
        </w:tc>
      </w:tr>
    </w:tbl>
    <w:tbl>
      <w:tblPr>
        <w:tblW w:type="auto" w:w="0"/>
        <w:jc w:val="center"/>
        <w:tblLayout w:type="fixed"/>
        <w:tblLook w:firstColumn="1" w:firstRow="1" w:lastColumn="0" w:lastRow="0" w:noHBand="0" w:noVBand="1" w:val="04A0"/>
        <w:tblBorders>
          <w:top w:val="single" w:sz="0" w:color="E8F7F1"/>
          <w:left w:val="single" w:sz="0" w:color="E8F7F1"/>
          <w:bottom w:val="single" w:sz="0" w:color="E8F7F1"/>
          <w:right w:val="single" w:sz="0" w:color="E8F7F1"/>
          <w:insideH w:val="single" w:sz="0" w:color="E8F7F1"/>
          <w:insideV w:val="single" w:sz="0" w:color="E8F7F1"/>
        </w:tblBorders>
      </w:tblPr>
      <w:tblGrid>
        <w:gridCol w:w="173"/>
        <w:gridCol w:w="9648"/>
      </w:tblGrid>
      <w:tr>
        <w:tc>
          <w:tcPr>
            <w:tcW w:type="dxa" w:w="5083"/>
            <w:shd w:fill="258C8B"/>
            <w:tcMar>
              <w:top w:w="0" w:type="dxa"/>
              <w:start w:w="0" w:type="dxa"/>
              <w:bottom w:w="0" w:type="dxa"/>
              <w:end w:w="0" w:type="dxa"/>
            </w:tcMar>
          </w:tcPr>
          <w:p/>
        </w:tc>
        <w:tc>
          <w:tcPr>
            <w:tcW w:type="dxa" w:w="5083"/>
            <w:shd w:fill="E8F7F1"/>
            <w:tcMar>
              <w:top w:w="150" w:type="dxa"/>
              <w:start w:w="180" w:type="dxa"/>
              <w:bottom w:w="150" w:type="dxa"/>
              <w:end w:w="180" w:type="dxa"/>
            </w:tcMar>
          </w:tcPr>
          <w:p>
            <w:pPr>
              <w:spacing w:after="60"/>
            </w:pPr>
            <w:r>
              <w:rPr>
                <w:rFonts w:ascii="Arial" w:hAnsi="Arial" w:eastAsia="Arial"/>
                <w:b/>
                <w:color w:val="10253F"/>
                <w:sz w:val="20"/>
              </w:rPr>
              <w:t>Nothing is uploaded</w:t>
            </w:r>
          </w:p>
          <w:p>
            <w:pPr>
              <w:spacing w:after="0"/>
            </w:pPr>
            <w:r>
              <w:rPr>
                <w:rFonts w:ascii="Arial" w:hAnsi="Arial" w:eastAsia="Arial"/>
                <w:color w:val="526B7C"/>
                <w:sz w:val="19"/>
              </w:rPr>
              <w:t>Payout Lens has no server, account, analytics, or upload step. The workbook is processed inside the browser on the device where it was opened.</w:t>
            </w:r>
          </w:p>
        </w:tc>
      </w:tr>
    </w:tbl>
    <w:p>
      <w:pPr>
        <w:spacing w:after="0"/>
      </w:pPr>
    </w:p>
    <w:p>
      <w:pPr>
        <w:pStyle w:val="Heading2"/>
        <w:keepNext/>
      </w:pPr>
      <w:r>
        <w:t>What appears at the top</w:t>
      </w:r>
    </w:p>
    <w:tbl>
      <w:tblPr>
        <w:tblW w:type="auto" w:w="0"/>
        <w:jc w:val="center"/>
        <w:tblLayout w:type="fixed"/>
        <w:tblLook w:firstColumn="1" w:firstRow="1" w:lastColumn="0" w:lastRow="0" w:noHBand="0" w:noVBand="1" w:val="04A0"/>
        <w:tblBorders>
          <w:top w:val="single" w:sz="6" w:color="CADBE5"/>
          <w:left w:val="single" w:sz="6" w:color="CADBE5"/>
          <w:bottom w:val="single" w:sz="6" w:color="CADBE5"/>
          <w:right w:val="single" w:sz="6" w:color="CADBE5"/>
          <w:insideH w:val="single" w:sz="6" w:color="CADBE5"/>
          <w:insideV w:val="single" w:sz="6" w:color="CADBE5"/>
        </w:tblBorders>
      </w:tblPr>
      <w:tblGrid>
        <w:gridCol w:w="2592"/>
        <w:gridCol w:w="7200"/>
      </w:tblGrid>
      <w:tr>
        <w:trPr>
          <w:tblHeader w:val="true"/>
        </w:trPr>
        <w:tc>
          <w:tcPr>
            <w:tcW w:type="dxa" w:w="5083"/>
            <w:shd w:fill="10253F"/>
            <w:tcMar>
              <w:top w:w="120" w:type="dxa"/>
              <w:start w:w="140" w:type="dxa"/>
              <w:bottom w:w="120" w:type="dxa"/>
              <w:end w:w="140" w:type="dxa"/>
            </w:tcMar>
          </w:tcPr>
          <w:p>
            <w:r>
              <w:rPr>
                <w:rFonts w:ascii="Courier New" w:hAnsi="Courier New" w:eastAsia="Courier New"/>
                <w:b/>
                <w:color w:val="FFFFFF"/>
                <w:sz w:val="17"/>
              </w:rPr>
              <w:t>RESULT</w:t>
            </w:r>
          </w:p>
        </w:tc>
        <w:tc>
          <w:tcPr>
            <w:tcW w:type="dxa" w:w="5083"/>
            <w:shd w:fill="10253F"/>
            <w:tcMar>
              <w:top w:w="120" w:type="dxa"/>
              <w:start w:w="140" w:type="dxa"/>
              <w:bottom w:w="120" w:type="dxa"/>
              <w:end w:w="140" w:type="dxa"/>
            </w:tcMar>
          </w:tcPr>
          <w:p>
            <w:r>
              <w:rPr>
                <w:rFonts w:ascii="Courier New" w:hAnsi="Courier New" w:eastAsia="Courier New"/>
                <w:b/>
                <w:color w:val="FFFFFF"/>
                <w:sz w:val="17"/>
              </w:rPr>
              <w:t>MEANING</w:t>
            </w:r>
          </w:p>
        </w:tc>
      </w:tr>
      <w:tr>
        <w:tc>
          <w:tcPr>
            <w:tcW w:type="dxa" w:w="2592"/>
            <w:tcMar>
              <w:top w:w="120" w:type="dxa"/>
              <w:start w:w="140" w:type="dxa"/>
              <w:bottom w:w="120" w:type="dxa"/>
              <w:end w:w="140" w:type="dxa"/>
            </w:tcMar>
          </w:tcPr>
          <w:p>
            <w:r>
              <w:rPr>
                <w:b/>
              </w:rPr>
              <w:t>Payout in export</w:t>
            </w:r>
          </w:p>
        </w:tc>
        <w:tc>
          <w:tcPr>
            <w:tcW w:type="dxa" w:w="7200"/>
            <w:tcMar>
              <w:top w:w="120" w:type="dxa"/>
              <w:start w:w="140" w:type="dxa"/>
              <w:bottom w:w="120" w:type="dxa"/>
              <w:end w:w="140" w:type="dxa"/>
            </w:tcMar>
          </w:tcPr>
          <w:p>
            <w:r>
              <w:t>Amount recorded in the workbook's payment table.</w:t>
            </w:r>
          </w:p>
        </w:tc>
      </w:tr>
      <w:tr>
        <w:tc>
          <w:tcPr>
            <w:tcW w:type="dxa" w:w="2592"/>
            <w:tcMar>
              <w:top w:w="120" w:type="dxa"/>
              <w:start w:w="140" w:type="dxa"/>
              <w:bottom w:w="120" w:type="dxa"/>
              <w:end w:w="140" w:type="dxa"/>
            </w:tcMar>
          </w:tcPr>
          <w:p>
            <w:r>
              <w:rPr>
                <w:b/>
              </w:rPr>
              <w:t>Orders</w:t>
            </w:r>
          </w:p>
        </w:tc>
        <w:tc>
          <w:tcPr>
            <w:tcW w:type="dxa" w:w="7200"/>
            <w:tcMar>
              <w:top w:w="120" w:type="dxa"/>
              <w:start w:w="140" w:type="dxa"/>
              <w:bottom w:w="120" w:type="dxa"/>
              <w:end w:w="140" w:type="dxa"/>
            </w:tcMar>
          </w:tcPr>
          <w:p>
            <w:r>
              <w:t>Distinct order IDs after adjustment-only rows are excluded.</w:t>
            </w:r>
          </w:p>
        </w:tc>
      </w:tr>
      <w:tr>
        <w:tc>
          <w:tcPr>
            <w:tcW w:type="dxa" w:w="2592"/>
            <w:tcMar>
              <w:top w:w="120" w:type="dxa"/>
              <w:start w:w="140" w:type="dxa"/>
              <w:bottom w:w="120" w:type="dxa"/>
              <w:end w:w="140" w:type="dxa"/>
            </w:tcMar>
          </w:tcPr>
          <w:p>
            <w:r>
              <w:rPr>
                <w:b/>
              </w:rPr>
              <w:t>Settlement rows</w:t>
            </w:r>
          </w:p>
        </w:tc>
        <w:tc>
          <w:tcPr>
            <w:tcW w:type="dxa" w:w="7200"/>
            <w:tcMar>
              <w:top w:w="120" w:type="dxa"/>
              <w:start w:w="140" w:type="dxa"/>
              <w:bottom w:w="120" w:type="dxa"/>
              <w:end w:w="140" w:type="dxa"/>
            </w:tcMar>
          </w:tcPr>
          <w:p>
            <w:r>
              <w:t>Order and adjustment rows used in the analysis.</w:t>
            </w:r>
          </w:p>
        </w:tc>
      </w:tr>
      <w:tr>
        <w:tc>
          <w:tcPr>
            <w:tcW w:type="dxa" w:w="2592"/>
            <w:tcMar>
              <w:top w:w="120" w:type="dxa"/>
              <w:start w:w="140" w:type="dxa"/>
              <w:bottom w:w="120" w:type="dxa"/>
              <w:end w:w="140" w:type="dxa"/>
            </w:tcMar>
          </w:tcPr>
          <w:p>
            <w:r>
              <w:rPr>
                <w:b/>
              </w:rPr>
              <w:t>Period</w:t>
            </w:r>
          </w:p>
        </w:tc>
        <w:tc>
          <w:tcPr>
            <w:tcW w:type="dxa" w:w="7200"/>
            <w:tcMar>
              <w:top w:w="120" w:type="dxa"/>
              <w:start w:w="140" w:type="dxa"/>
              <w:bottom w:w="120" w:type="dxa"/>
              <w:end w:w="140" w:type="dxa"/>
            </w:tcMar>
          </w:tcPr>
          <w:p>
            <w:r>
              <w:t>Dates covered by the analyzed rows.</w:t>
            </w:r>
          </w:p>
        </w:tc>
      </w:tr>
    </w:tbl>
    <w:p>
      <w:r>
        <w:t>Current TikTok US export reference: seller-us.tiktok.com/university/essay?knowledge_id=2336057241700098</w:t>
      </w:r>
    </w:p>
    <w:p>
      <w:r>
        <w:br w:type="page"/>
      </w:r>
    </w:p>
    <w:p>
      <w:pPr>
        <w:keepNext/>
        <w:spacing w:after="100"/>
      </w:pPr>
      <w:r>
        <w:rPr>
          <w:rFonts w:ascii="Courier New" w:hAnsi="Courier New" w:eastAsia="Courier New"/>
          <w:b/>
          <w:color w:val="258C8B"/>
          <w:sz w:val="17"/>
        </w:rPr>
        <w:t>READ THE RESULT</w:t>
      </w:r>
    </w:p>
    <w:p>
      <w:pPr>
        <w:pStyle w:val="Heading1"/>
        <w:keepNext/>
      </w:pPr>
      <w:r>
        <w:t>Follow the money in order</w:t>
      </w:r>
    </w:p>
    <w:tbl>
      <w:tblPr>
        <w:tblW w:type="auto" w:w="0"/>
        <w:jc w:val="center"/>
        <w:tblLayout w:type="fixed"/>
        <w:tblLook w:firstColumn="1" w:firstRow="1" w:lastColumn="0" w:lastRow="0" w:noHBand="0" w:noVBand="1" w:val="04A0"/>
        <w:tblBorders>
          <w:top w:val="single" w:sz="6" w:color="CADBE5"/>
          <w:left w:val="single" w:sz="6" w:color="CADBE5"/>
          <w:bottom w:val="single" w:sz="6" w:color="CADBE5"/>
          <w:right w:val="single" w:sz="6" w:color="CADBE5"/>
          <w:insideH w:val="single" w:sz="6" w:color="CADBE5"/>
          <w:insideV w:val="single" w:sz="6" w:color="CADBE5"/>
        </w:tblBorders>
      </w:tblPr>
      <w:tblGrid>
        <w:gridCol w:w="2952"/>
        <w:gridCol w:w="6840"/>
      </w:tblGrid>
      <w:tr>
        <w:trPr>
          <w:tblHeader w:val="true"/>
        </w:trPr>
        <w:tc>
          <w:tcPr>
            <w:tcW w:type="dxa" w:w="5083"/>
            <w:shd w:fill="10253F"/>
            <w:tcMar>
              <w:top w:w="120" w:type="dxa"/>
              <w:start w:w="140" w:type="dxa"/>
              <w:bottom w:w="120" w:type="dxa"/>
              <w:end w:w="140" w:type="dxa"/>
            </w:tcMar>
          </w:tcPr>
          <w:p>
            <w:r>
              <w:rPr>
                <w:rFonts w:ascii="Courier New" w:hAnsi="Courier New" w:eastAsia="Courier New"/>
                <w:b/>
                <w:color w:val="FFFFFF"/>
                <w:sz w:val="17"/>
              </w:rPr>
              <w:t>LINE</w:t>
            </w:r>
          </w:p>
        </w:tc>
        <w:tc>
          <w:tcPr>
            <w:tcW w:type="dxa" w:w="5083"/>
            <w:shd w:fill="10253F"/>
            <w:tcMar>
              <w:top w:w="120" w:type="dxa"/>
              <w:start w:w="140" w:type="dxa"/>
              <w:bottom w:w="120" w:type="dxa"/>
              <w:end w:w="140" w:type="dxa"/>
            </w:tcMar>
          </w:tcPr>
          <w:p>
            <w:r>
              <w:rPr>
                <w:rFonts w:ascii="Courier New" w:hAnsi="Courier New" w:eastAsia="Courier New"/>
                <w:b/>
                <w:color w:val="FFFFFF"/>
                <w:sz w:val="17"/>
              </w:rPr>
              <w:t>WHAT IT MEANS</w:t>
            </w:r>
          </w:p>
        </w:tc>
      </w:tr>
      <w:tr>
        <w:tc>
          <w:tcPr>
            <w:tcW w:type="dxa" w:w="2952"/>
            <w:tcMar>
              <w:top w:w="90" w:type="dxa"/>
              <w:start w:w="130" w:type="dxa"/>
              <w:bottom w:w="90" w:type="dxa"/>
              <w:end w:w="130" w:type="dxa"/>
            </w:tcMar>
          </w:tcPr>
          <w:p>
            <w:r>
              <w:rPr>
                <w:b/>
              </w:rPr>
              <w:t>Gross sales</w:t>
            </w:r>
          </w:p>
        </w:tc>
        <w:tc>
          <w:tcPr>
            <w:tcW w:type="dxa" w:w="6840"/>
            <w:tcMar>
              <w:top w:w="90" w:type="dxa"/>
              <w:start w:w="130" w:type="dxa"/>
              <w:bottom w:w="90" w:type="dxa"/>
              <w:end w:w="130" w:type="dxa"/>
            </w:tcMar>
          </w:tcPr>
          <w:p>
            <w:r>
              <w:t>Product revenue before seller discounts and refunds.</w:t>
            </w:r>
          </w:p>
        </w:tc>
      </w:tr>
      <w:tr>
        <w:tc>
          <w:tcPr>
            <w:tcW w:type="dxa" w:w="2952"/>
            <w:tcMar>
              <w:top w:w="90" w:type="dxa"/>
              <w:start w:w="130" w:type="dxa"/>
              <w:bottom w:w="90" w:type="dxa"/>
              <w:end w:w="130" w:type="dxa"/>
            </w:tcMar>
          </w:tcPr>
          <w:p>
            <w:r>
              <w:rPr>
                <w:b/>
              </w:rPr>
              <w:t>Refunds + seller discounts</w:t>
            </w:r>
          </w:p>
        </w:tc>
        <w:tc>
          <w:tcPr>
            <w:tcW w:type="dxa" w:w="6840"/>
            <w:tcMar>
              <w:top w:w="90" w:type="dxa"/>
              <w:start w:w="130" w:type="dxa"/>
              <w:bottom w:w="90" w:type="dxa"/>
              <w:end w:w="130" w:type="dxa"/>
            </w:tcMar>
          </w:tcPr>
          <w:p>
            <w:r>
              <w:t>Difference between gross and net sales.</w:t>
            </w:r>
          </w:p>
        </w:tc>
      </w:tr>
      <w:tr>
        <w:tc>
          <w:tcPr>
            <w:tcW w:type="dxa" w:w="2952"/>
            <w:tcMar>
              <w:top w:w="90" w:type="dxa"/>
              <w:start w:w="130" w:type="dxa"/>
              <w:bottom w:w="90" w:type="dxa"/>
              <w:end w:w="130" w:type="dxa"/>
            </w:tcMar>
          </w:tcPr>
          <w:p>
            <w:r>
              <w:rPr>
                <w:b/>
              </w:rPr>
              <w:t>Net sales</w:t>
            </w:r>
          </w:p>
        </w:tc>
        <w:tc>
          <w:tcPr>
            <w:tcW w:type="dxa" w:w="6840"/>
            <w:tcMar>
              <w:top w:w="90" w:type="dxa"/>
              <w:start w:w="130" w:type="dxa"/>
              <w:bottom w:w="90" w:type="dxa"/>
              <w:end w:w="130" w:type="dxa"/>
            </w:tcMar>
          </w:tcPr>
          <w:p>
            <w:r>
              <w:t>Revenue after those reductions.</w:t>
            </w:r>
          </w:p>
        </w:tc>
      </w:tr>
      <w:tr>
        <w:tc>
          <w:tcPr>
            <w:tcW w:type="dxa" w:w="2952"/>
            <w:tcMar>
              <w:top w:w="90" w:type="dxa"/>
              <w:start w:w="130" w:type="dxa"/>
              <w:bottom w:w="90" w:type="dxa"/>
              <w:end w:w="130" w:type="dxa"/>
            </w:tcMar>
          </w:tcPr>
          <w:p>
            <w:r>
              <w:rPr>
                <w:b/>
              </w:rPr>
              <w:t>Shipping</w:t>
            </w:r>
          </w:p>
        </w:tc>
        <w:tc>
          <w:tcPr>
            <w:tcW w:type="dxa" w:w="6840"/>
            <w:tcMar>
              <w:top w:w="90" w:type="dxa"/>
              <w:start w:w="130" w:type="dxa"/>
              <w:bottom w:w="90" w:type="dxa"/>
              <w:end w:w="130" w:type="dxa"/>
            </w:tcMar>
          </w:tcPr>
          <w:p>
            <w:r>
              <w:t>Signed shipping charges and reimbursements from the export.</w:t>
            </w:r>
          </w:p>
        </w:tc>
      </w:tr>
      <w:tr>
        <w:tc>
          <w:tcPr>
            <w:tcW w:type="dxa" w:w="2952"/>
            <w:tcMar>
              <w:top w:w="90" w:type="dxa"/>
              <w:start w:w="130" w:type="dxa"/>
              <w:bottom w:w="90" w:type="dxa"/>
              <w:end w:w="130" w:type="dxa"/>
            </w:tcMar>
          </w:tcPr>
          <w:p>
            <w:r>
              <w:rPr>
                <w:b/>
              </w:rPr>
              <w:t>Fees</w:t>
            </w:r>
          </w:p>
        </w:tc>
        <w:tc>
          <w:tcPr>
            <w:tcW w:type="dxa" w:w="6840"/>
            <w:tcMar>
              <w:top w:w="90" w:type="dxa"/>
              <w:start w:w="130" w:type="dxa"/>
              <w:bottom w:w="90" w:type="dxa"/>
              <w:end w:w="130" w:type="dxa"/>
            </w:tcMar>
          </w:tcPr>
          <w:p>
            <w:r>
              <w:t>Marketplace, referral, affiliate, refund, and transaction fees.</w:t>
            </w:r>
          </w:p>
        </w:tc>
      </w:tr>
      <w:tr>
        <w:tc>
          <w:tcPr>
            <w:tcW w:type="dxa" w:w="2952"/>
            <w:tcMar>
              <w:top w:w="90" w:type="dxa"/>
              <w:start w:w="130" w:type="dxa"/>
              <w:bottom w:w="90" w:type="dxa"/>
              <w:end w:w="130" w:type="dxa"/>
            </w:tcMar>
          </w:tcPr>
          <w:p>
            <w:r>
              <w:rPr>
                <w:b/>
              </w:rPr>
              <w:t>Adjustments</w:t>
            </w:r>
          </w:p>
        </w:tc>
        <w:tc>
          <w:tcPr>
            <w:tcW w:type="dxa" w:w="6840"/>
            <w:tcMar>
              <w:top w:w="90" w:type="dxa"/>
              <w:start w:w="130" w:type="dxa"/>
              <w:bottom w:w="90" w:type="dxa"/>
              <w:end w:w="130" w:type="dxa"/>
            </w:tcMar>
          </w:tcPr>
          <w:p>
            <w:r>
              <w:t>Exported reimbursements or deductions.</w:t>
            </w:r>
          </w:p>
        </w:tc>
      </w:tr>
      <w:tr>
        <w:tc>
          <w:tcPr>
            <w:tcW w:type="dxa" w:w="2952"/>
            <w:tcMar>
              <w:top w:w="90" w:type="dxa"/>
              <w:start w:w="130" w:type="dxa"/>
              <w:bottom w:w="90" w:type="dxa"/>
              <w:end w:w="130" w:type="dxa"/>
            </w:tcMar>
          </w:tcPr>
          <w:p>
            <w:r>
              <w:rPr>
                <w:b/>
              </w:rPr>
              <w:t>Settlement</w:t>
            </w:r>
          </w:p>
        </w:tc>
        <w:tc>
          <w:tcPr>
            <w:tcW w:type="dxa" w:w="6840"/>
            <w:tcMar>
              <w:top w:w="90" w:type="dxa"/>
              <w:start w:w="130" w:type="dxa"/>
              <w:bottom w:w="90" w:type="dxa"/>
              <w:end w:w="130" w:type="dxa"/>
            </w:tcMar>
          </w:tcPr>
          <w:p>
            <w:r>
              <w:t>Net sales + shipping + fees + adjustments.</w:t>
            </w:r>
          </w:p>
        </w:tc>
      </w:tr>
      <w:tr>
        <w:tc>
          <w:tcPr>
            <w:tcW w:type="dxa" w:w="2952"/>
            <w:tcMar>
              <w:top w:w="90" w:type="dxa"/>
              <w:start w:w="130" w:type="dxa"/>
              <w:bottom w:w="90" w:type="dxa"/>
              <w:end w:w="130" w:type="dxa"/>
            </w:tcMar>
          </w:tcPr>
          <w:p>
            <w:r>
              <w:rPr>
                <w:b/>
              </w:rPr>
              <w:t>Reserve</w:t>
            </w:r>
          </w:p>
        </w:tc>
        <w:tc>
          <w:tcPr>
            <w:tcW w:type="dxa" w:w="6840"/>
            <w:tcMar>
              <w:top w:w="90" w:type="dxa"/>
              <w:start w:w="130" w:type="dxa"/>
              <w:bottom w:w="90" w:type="dxa"/>
              <w:end w:w="130" w:type="dxa"/>
            </w:tcMar>
          </w:tcPr>
          <w:p>
            <w:r>
              <w:t>Money held back or released.</w:t>
            </w:r>
          </w:p>
        </w:tc>
      </w:tr>
      <w:tr>
        <w:tc>
          <w:tcPr>
            <w:tcW w:type="dxa" w:w="2952"/>
            <w:tcMar>
              <w:top w:w="90" w:type="dxa"/>
              <w:start w:w="130" w:type="dxa"/>
              <w:bottom w:w="90" w:type="dxa"/>
              <w:end w:w="130" w:type="dxa"/>
            </w:tcMar>
          </w:tcPr>
          <w:p>
            <w:r>
              <w:rPr>
                <w:b/>
              </w:rPr>
              <w:t>Payout</w:t>
            </w:r>
          </w:p>
        </w:tc>
        <w:tc>
          <w:tcPr>
            <w:tcW w:type="dxa" w:w="6840"/>
            <w:tcMar>
              <w:top w:w="90" w:type="dxa"/>
              <w:start w:w="130" w:type="dxa"/>
              <w:bottom w:w="90" w:type="dxa"/>
              <w:end w:w="130" w:type="dxa"/>
            </w:tcMar>
          </w:tcPr>
          <w:p>
            <w:r>
              <w:t>Amount recorded in the payment table.</w:t>
            </w:r>
          </w:p>
        </w:tc>
      </w:tr>
    </w:tbl>
    <w:tbl>
      <w:tblPr>
        <w:tblW w:type="auto" w:w="0"/>
        <w:jc w:val="center"/>
        <w:tblLayout w:type="fixed"/>
        <w:tblLook w:firstColumn="1" w:firstRow="1" w:lastColumn="0" w:lastRow="0" w:noHBand="0" w:noVBand="1" w:val="04A0"/>
        <w:tblBorders>
          <w:top w:val="single" w:sz="0" w:color="FBEDEF"/>
          <w:left w:val="single" w:sz="0" w:color="FBEDEF"/>
          <w:bottom w:val="single" w:sz="0" w:color="FBEDEF"/>
          <w:right w:val="single" w:sz="0" w:color="FBEDEF"/>
          <w:insideH w:val="single" w:sz="0" w:color="FBEDEF"/>
          <w:insideV w:val="single" w:sz="0" w:color="FBEDEF"/>
        </w:tblBorders>
      </w:tblPr>
      <w:tblGrid>
        <w:gridCol w:w="173"/>
        <w:gridCol w:w="9648"/>
      </w:tblGrid>
      <w:tr>
        <w:tc>
          <w:tcPr>
            <w:tcW w:type="dxa" w:w="5083"/>
            <w:shd w:fill="C95E67"/>
            <w:tcMar>
              <w:top w:w="0" w:type="dxa"/>
              <w:start w:w="0" w:type="dxa"/>
              <w:bottom w:w="0" w:type="dxa"/>
              <w:end w:w="0" w:type="dxa"/>
            </w:tcMar>
          </w:tcPr>
          <w:p/>
        </w:tc>
        <w:tc>
          <w:tcPr>
            <w:tcW w:type="dxa" w:w="5083"/>
            <w:shd w:fill="FBEDEF"/>
            <w:tcMar>
              <w:top w:w="150" w:type="dxa"/>
              <w:start w:w="180" w:type="dxa"/>
              <w:bottom w:w="150" w:type="dxa"/>
              <w:end w:w="180" w:type="dxa"/>
            </w:tcMar>
          </w:tcPr>
          <w:p>
            <w:pPr>
              <w:spacing w:after="60"/>
            </w:pPr>
            <w:r>
              <w:rPr>
                <w:rFonts w:ascii="Arial" w:hAnsi="Arial" w:eastAsia="Arial"/>
                <w:b/>
                <w:color w:val="10253F"/>
                <w:sz w:val="20"/>
              </w:rPr>
              <w:t>How to read the signs</w:t>
            </w:r>
          </w:p>
          <w:p>
            <w:pPr>
              <w:spacing w:after="0"/>
            </w:pPr>
            <w:r>
              <w:rPr>
                <w:rFonts w:ascii="Arial" w:hAnsi="Arial" w:eastAsia="Arial"/>
                <w:color w:val="526B7C"/>
                <w:sz w:val="19"/>
              </w:rPr>
              <w:t>Negative values reduced the total. Positive values added to it. Exported math ties means the workbook arithmetic matches within two cents; it does not prove every fee was charged correctly.</w:t>
            </w:r>
          </w:p>
        </w:tc>
      </w:tr>
    </w:tbl>
    <w:p>
      <w:pPr>
        <w:spacing w:after="0"/>
      </w:pPr>
    </w:p>
    <w:p>
      <w:r>
        <w:br w:type="page"/>
      </w:r>
    </w:p>
    <w:p>
      <w:pPr>
        <w:keepNext/>
        <w:spacing w:after="100"/>
      </w:pPr>
      <w:r>
        <w:rPr>
          <w:rFonts w:ascii="Courier New" w:hAnsi="Courier New" w:eastAsia="Courier New"/>
          <w:b/>
          <w:color w:val="258C8B"/>
          <w:sz w:val="17"/>
        </w:rPr>
        <w:t>DEDUCTIONS AND ADJUSTMENTS</w:t>
      </w:r>
    </w:p>
    <w:p>
      <w:pPr>
        <w:pStyle w:val="Heading1"/>
        <w:keepNext/>
      </w:pPr>
      <w:r>
        <w:t>See what reduced the payout</w:t>
      </w:r>
    </w:p>
    <w:p>
      <w:r>
        <w:t>The deductions panel groups the largest negative amounts so the biggest drivers are obvious. The adjustment panel preserves the reasons written in the workbook rather than guessing what TikTok intended.</w:t>
      </w:r>
    </w:p>
    <w:p>
      <w:pPr>
        <w:spacing w:before="100" w:after="100"/>
        <w:jc w:val="center"/>
      </w:pPr>
      <w:r>
        <w:drawing>
          <wp:inline xmlns:a="http://schemas.openxmlformats.org/drawingml/2006/main" xmlns:pic="http://schemas.openxmlformats.org/drawingml/2006/picture">
            <wp:extent cx="6263640" cy="3523298"/>
            <wp:docPr id="3" name="Picture 3"/>
            <wp:cNvGraphicFramePr>
              <a:graphicFrameLocks noChangeAspect="1"/>
            </wp:cNvGraphicFramePr>
            <a:graphic>
              <a:graphicData uri="http://schemas.openxmlformats.org/drawingml/2006/picture">
                <pic:pic>
                  <pic:nvPicPr>
                    <pic:cNvPr id="0" name="03-deductions-and-adjustments.jpg"/>
                    <pic:cNvPicPr/>
                  </pic:nvPicPr>
                  <pic:blipFill>
                    <a:blip r:embed="rId13"/>
                    <a:stretch>
                      <a:fillRect/>
                    </a:stretch>
                  </pic:blipFill>
                  <pic:spPr>
                    <a:xfrm>
                      <a:off x="0" y="0"/>
                      <a:ext cx="6263640" cy="3523298"/>
                    </a:xfrm>
                    <a:prstGeom prst="rect"/>
                  </pic:spPr>
                </pic:pic>
              </a:graphicData>
            </a:graphic>
          </wp:inline>
        </w:drawing>
      </w:r>
    </w:p>
    <w:p>
      <w:pPr>
        <w:spacing w:after="160"/>
        <w:jc w:val="center"/>
      </w:pPr>
      <w:r>
        <w:rPr>
          <w:rFonts w:ascii="Arial" w:hAnsi="Arial" w:eastAsia="Arial"/>
          <w:i/>
          <w:color w:val="526B7C"/>
          <w:sz w:val="17"/>
        </w:rPr>
        <w:t>The payout trail sits beside the largest deductions and adjustment reasons from the workbook.</w:t>
      </w:r>
    </w:p>
    <w:tbl>
      <w:tblPr>
        <w:tblW w:type="auto" w:w="0"/>
        <w:jc w:val="center"/>
        <w:tblLayout w:type="fixed"/>
        <w:tblLook w:firstColumn="1" w:firstRow="1" w:lastColumn="0" w:lastRow="0" w:noHBand="0" w:noVBand="1" w:val="04A0"/>
        <w:tblBorders>
          <w:top w:val="single" w:sz="0" w:color="FBEDEF"/>
          <w:left w:val="single" w:sz="0" w:color="FBEDEF"/>
          <w:bottom w:val="single" w:sz="0" w:color="FBEDEF"/>
          <w:right w:val="single" w:sz="0" w:color="FBEDEF"/>
          <w:insideH w:val="single" w:sz="0" w:color="FBEDEF"/>
          <w:insideV w:val="single" w:sz="0" w:color="FBEDEF"/>
        </w:tblBorders>
      </w:tblPr>
      <w:tblGrid>
        <w:gridCol w:w="173"/>
        <w:gridCol w:w="9648"/>
      </w:tblGrid>
      <w:tr>
        <w:tc>
          <w:tcPr>
            <w:tcW w:type="dxa" w:w="5083"/>
            <w:shd w:fill="C95E67"/>
            <w:tcMar>
              <w:top w:w="0" w:type="dxa"/>
              <w:start w:w="0" w:type="dxa"/>
              <w:bottom w:w="0" w:type="dxa"/>
              <w:end w:w="0" w:type="dxa"/>
            </w:tcMar>
          </w:tcPr>
          <w:p/>
        </w:tc>
        <w:tc>
          <w:tcPr>
            <w:tcW w:type="dxa" w:w="5083"/>
            <w:shd w:fill="FBEDEF"/>
            <w:tcMar>
              <w:top w:w="150" w:type="dxa"/>
              <w:start w:w="180" w:type="dxa"/>
              <w:bottom w:w="150" w:type="dxa"/>
              <w:end w:w="180" w:type="dxa"/>
            </w:tcMar>
          </w:tcPr>
          <w:p>
            <w:pPr>
              <w:spacing w:after="60"/>
            </w:pPr>
            <w:r>
              <w:rPr>
                <w:rFonts w:ascii="Arial" w:hAnsi="Arial" w:eastAsia="Arial"/>
                <w:b/>
                <w:color w:val="10253F"/>
                <w:sz w:val="20"/>
              </w:rPr>
              <w:t>Important boundary</w:t>
            </w:r>
          </w:p>
          <w:p>
            <w:pPr>
              <w:spacing w:after="0"/>
            </w:pPr>
            <w:r>
              <w:rPr>
                <w:rFonts w:ascii="Arial" w:hAnsi="Arial" w:eastAsia="Arial"/>
                <w:color w:val="526B7C"/>
                <w:sz w:val="19"/>
              </w:rPr>
              <w:t>Payout Lens explains what the export says. It does not verify TikTok's fee policy or prove that a charge is incorrect.</w:t>
            </w:r>
          </w:p>
        </w:tc>
      </w:tr>
    </w:tbl>
    <w:p>
      <w:pPr>
        <w:spacing w:after="0"/>
      </w:pPr>
    </w:p>
    <w:p>
      <w:r>
        <w:br w:type="page"/>
      </w:r>
    </w:p>
    <w:p>
      <w:pPr>
        <w:keepNext/>
        <w:spacing w:after="100"/>
      </w:pPr>
      <w:r>
        <w:rPr>
          <w:rFonts w:ascii="Courier New" w:hAnsi="Courier New" w:eastAsia="Courier New"/>
          <w:b/>
          <w:color w:val="258C8B"/>
          <w:sz w:val="17"/>
        </w:rPr>
        <w:t>REVIEW AND EXPORT</w:t>
      </w:r>
    </w:p>
    <w:p>
      <w:pPr>
        <w:pStyle w:val="Heading1"/>
        <w:keepNext/>
      </w:pPr>
      <w:r>
        <w:t>Know exactly what to check next</w:t>
      </w:r>
    </w:p>
    <w:p>
      <w:r>
        <w:t>The Review Queue flags rows worth opening in Seller Center, including negative adjustments, missing reasons, row-math differences, payment-status problems, and gaps between statement and order-detail totals.</w:t>
      </w:r>
    </w:p>
    <w:p>
      <w:pPr>
        <w:spacing w:before="100" w:after="100"/>
        <w:jc w:val="center"/>
      </w:pPr>
      <w:r>
        <w:drawing>
          <wp:inline xmlns:a="http://schemas.openxmlformats.org/drawingml/2006/main" xmlns:pic="http://schemas.openxmlformats.org/drawingml/2006/picture">
            <wp:extent cx="6263640" cy="3523298"/>
            <wp:docPr id="4" name="Picture 4"/>
            <wp:cNvGraphicFramePr>
              <a:graphicFrameLocks noChangeAspect="1"/>
            </wp:cNvGraphicFramePr>
            <a:graphic>
              <a:graphicData uri="http://schemas.openxmlformats.org/drawingml/2006/picture">
                <pic:pic>
                  <pic:nvPicPr>
                    <pic:cNvPr id="0" name="04-review-and-downloads.jpg"/>
                    <pic:cNvPicPr/>
                  </pic:nvPicPr>
                  <pic:blipFill>
                    <a:blip r:embed="rId14"/>
                    <a:stretch>
                      <a:fillRect/>
                    </a:stretch>
                  </pic:blipFill>
                  <pic:spPr>
                    <a:xfrm>
                      <a:off x="0" y="0"/>
                      <a:ext cx="6263640" cy="3523298"/>
                    </a:xfrm>
                    <a:prstGeom prst="rect"/>
                  </pic:spPr>
                </pic:pic>
              </a:graphicData>
            </a:graphic>
          </wp:inline>
        </w:drawing>
      </w:r>
    </w:p>
    <w:p>
      <w:pPr>
        <w:spacing w:after="160"/>
        <w:jc w:val="center"/>
      </w:pPr>
      <w:r>
        <w:rPr>
          <w:rFonts w:ascii="Arial" w:hAnsi="Arial" w:eastAsia="Arial"/>
          <w:i/>
          <w:color w:val="526B7C"/>
          <w:sz w:val="17"/>
        </w:rPr>
        <w:t>Use the reference and workbook row to investigate, then download a clean summary or review-items CSV.</w:t>
      </w:r>
    </w:p>
    <w:p>
      <w:pPr>
        <w:pStyle w:val="ListBullet"/>
      </w:pPr>
      <w:r>
        <w:t>Download summary CSV creates a clean payout-trail summary.</w:t>
      </w:r>
    </w:p>
    <w:p>
      <w:pPr>
        <w:pStyle w:val="ListBullet"/>
      </w:pPr>
      <w:r>
        <w:t>Download review items creates a separate list of flagged rows.</w:t>
      </w:r>
    </w:p>
    <w:p>
      <w:pPr>
        <w:pStyle w:val="ListBullet"/>
      </w:pPr>
      <w:r>
        <w:t>The review-items button is disabled when nothing was flagged.</w:t>
      </w:r>
    </w:p>
    <w:p>
      <w:pPr>
        <w:pStyle w:val="ListBullet"/>
      </w:pPr>
      <w:r>
        <w:t>Both files are created locally from the workbook already open in the browser.</w:t>
      </w:r>
    </w:p>
    <w:p>
      <w:r>
        <w:br w:type="page"/>
      </w:r>
    </w:p>
    <w:p>
      <w:pPr>
        <w:keepNext/>
        <w:spacing w:after="100"/>
      </w:pPr>
      <w:r>
        <w:rPr>
          <w:rFonts w:ascii="Courier New" w:hAnsi="Courier New" w:eastAsia="Courier New"/>
          <w:b/>
          <w:color w:val="258C8B"/>
          <w:sz w:val="17"/>
        </w:rPr>
        <w:t>TROUBLESHOOTING</w:t>
      </w:r>
    </w:p>
    <w:p>
      <w:pPr>
        <w:pStyle w:val="Heading1"/>
        <w:keepNext/>
      </w:pPr>
      <w:r>
        <w:t>Common problems and the fix</w:t>
      </w:r>
    </w:p>
    <w:tbl>
      <w:tblPr>
        <w:tblW w:type="auto" w:w="0"/>
        <w:jc w:val="center"/>
        <w:tblLayout w:type="fixed"/>
        <w:tblLook w:firstColumn="1" w:firstRow="1" w:lastColumn="0" w:lastRow="0" w:noHBand="0" w:noVBand="1" w:val="04A0"/>
        <w:tblBorders>
          <w:top w:val="single" w:sz="6" w:color="CADBE5"/>
          <w:left w:val="single" w:sz="6" w:color="CADBE5"/>
          <w:bottom w:val="single" w:sz="6" w:color="CADBE5"/>
          <w:right w:val="single" w:sz="6" w:color="CADBE5"/>
          <w:insideH w:val="single" w:sz="6" w:color="CADBE5"/>
          <w:insideV w:val="single" w:sz="6" w:color="CADBE5"/>
        </w:tblBorders>
      </w:tblPr>
      <w:tblGrid>
        <w:gridCol w:w="3096"/>
        <w:gridCol w:w="6696"/>
      </w:tblGrid>
      <w:tr>
        <w:trPr>
          <w:tblHeader w:val="true"/>
        </w:trPr>
        <w:tc>
          <w:tcPr>
            <w:tcW w:type="dxa" w:w="5083"/>
            <w:shd w:fill="10253F"/>
            <w:tcMar>
              <w:top w:w="120" w:type="dxa"/>
              <w:start w:w="140" w:type="dxa"/>
              <w:bottom w:w="120" w:type="dxa"/>
              <w:end w:w="140" w:type="dxa"/>
            </w:tcMar>
          </w:tcPr>
          <w:p>
            <w:r>
              <w:rPr>
                <w:rFonts w:ascii="Courier New" w:hAnsi="Courier New" w:eastAsia="Courier New"/>
                <w:b/>
                <w:color w:val="FFFFFF"/>
                <w:sz w:val="17"/>
              </w:rPr>
              <w:t>WHAT YOU SEE</w:t>
            </w:r>
          </w:p>
        </w:tc>
        <w:tc>
          <w:tcPr>
            <w:tcW w:type="dxa" w:w="5083"/>
            <w:shd w:fill="10253F"/>
            <w:tcMar>
              <w:top w:w="120" w:type="dxa"/>
              <w:start w:w="140" w:type="dxa"/>
              <w:bottom w:w="120" w:type="dxa"/>
              <w:end w:w="140" w:type="dxa"/>
            </w:tcMar>
          </w:tcPr>
          <w:p>
            <w:r>
              <w:rPr>
                <w:rFonts w:ascii="Courier New" w:hAnsi="Courier New" w:eastAsia="Courier New"/>
                <w:b/>
                <w:color w:val="FFFFFF"/>
                <w:sz w:val="17"/>
              </w:rPr>
              <w:t>WHAT TO DO</w:t>
            </w:r>
          </w:p>
        </w:tc>
      </w:tr>
      <w:tr>
        <w:tc>
          <w:tcPr>
            <w:tcW w:type="dxa" w:w="3096"/>
            <w:tcMar>
              <w:top w:w="130" w:type="dxa"/>
              <w:start w:w="140" w:type="dxa"/>
              <w:bottom w:w="130" w:type="dxa"/>
              <w:end w:w="140" w:type="dxa"/>
            </w:tcMar>
          </w:tcPr>
          <w:p>
            <w:r>
              <w:rPr>
                <w:b/>
              </w:rPr>
              <w:t>Settlement table not found</w:t>
            </w:r>
          </w:p>
        </w:tc>
        <w:tc>
          <w:tcPr>
            <w:tcW w:type="dxa" w:w="6696"/>
            <w:tcMar>
              <w:top w:w="130" w:type="dxa"/>
              <w:start w:w="140" w:type="dxa"/>
              <w:bottom w:w="130" w:type="dxa"/>
              <w:end w:w="140" w:type="dxa"/>
            </w:tcMar>
          </w:tcPr>
          <w:p>
            <w:r>
              <w:t>Export the settlement report, not Orders or Sales. Confirm Order details exists.</w:t>
            </w:r>
          </w:p>
        </w:tc>
      </w:tr>
      <w:tr>
        <w:tc>
          <w:tcPr>
            <w:tcW w:type="dxa" w:w="3096"/>
            <w:shd w:fill="EEF6FA"/>
            <w:tcMar>
              <w:top w:w="130" w:type="dxa"/>
              <w:start w:w="140" w:type="dxa"/>
              <w:bottom w:w="130" w:type="dxa"/>
              <w:end w:w="140" w:type="dxa"/>
            </w:tcMar>
          </w:tcPr>
          <w:p>
            <w:r>
              <w:rPr>
                <w:b/>
              </w:rPr>
              <w:t>Wrong file type</w:t>
            </w:r>
          </w:p>
        </w:tc>
        <w:tc>
          <w:tcPr>
            <w:tcW w:type="dxa" w:w="6696"/>
            <w:shd w:fill="EEF6FA"/>
            <w:tcMar>
              <w:top w:w="130" w:type="dxa"/>
              <w:start w:w="140" w:type="dxa"/>
              <w:bottom w:w="130" w:type="dxa"/>
              <w:end w:w="140" w:type="dxa"/>
            </w:tcMar>
          </w:tcPr>
          <w:p>
            <w:r>
              <w:t>Use .xlsx. CSV, PDF, and legacy .xls are unsupported.</w:t>
            </w:r>
          </w:p>
        </w:tc>
      </w:tr>
      <w:tr>
        <w:tc>
          <w:tcPr>
            <w:tcW w:type="dxa" w:w="3096"/>
            <w:tcMar>
              <w:top w:w="130" w:type="dxa"/>
              <w:start w:w="140" w:type="dxa"/>
              <w:bottom w:w="130" w:type="dxa"/>
              <w:end w:w="140" w:type="dxa"/>
            </w:tcMar>
          </w:tcPr>
          <w:p>
            <w:r>
              <w:rPr>
                <w:b/>
              </w:rPr>
              <w:t>No transaction rows</w:t>
            </w:r>
          </w:p>
        </w:tc>
        <w:tc>
          <w:tcPr>
            <w:tcW w:type="dxa" w:w="6696"/>
            <w:tcMar>
              <w:top w:w="130" w:type="dxa"/>
              <w:start w:w="140" w:type="dxa"/>
              <w:bottom w:w="130" w:type="dxa"/>
              <w:end w:w="140" w:type="dxa"/>
            </w:tcMar>
          </w:tcPr>
          <w:p>
            <w:r>
              <w:t>Export a date range with settlement activity.</w:t>
            </w:r>
          </w:p>
        </w:tc>
      </w:tr>
      <w:tr>
        <w:tc>
          <w:tcPr>
            <w:tcW w:type="dxa" w:w="3096"/>
            <w:shd w:fill="EEF6FA"/>
            <w:tcMar>
              <w:top w:w="130" w:type="dxa"/>
              <w:start w:w="140" w:type="dxa"/>
              <w:bottom w:w="130" w:type="dxa"/>
              <w:end w:w="140" w:type="dxa"/>
            </w:tcMar>
          </w:tcPr>
          <w:p>
            <w:r>
              <w:rPr>
                <w:b/>
              </w:rPr>
              <w:t>Over 25 MB or too complex</w:t>
            </w:r>
          </w:p>
        </w:tc>
        <w:tc>
          <w:tcPr>
            <w:tcW w:type="dxa" w:w="6696"/>
            <w:shd w:fill="EEF6FA"/>
            <w:tcMar>
              <w:top w:w="130" w:type="dxa"/>
              <w:start w:w="140" w:type="dxa"/>
              <w:bottom w:w="130" w:type="dxa"/>
              <w:end w:w="140" w:type="dxa"/>
            </w:tcMar>
          </w:tcPr>
          <w:p>
            <w:r>
              <w:t>Export a shorter date range.</w:t>
            </w:r>
          </w:p>
        </w:tc>
      </w:tr>
      <w:tr>
        <w:tc>
          <w:tcPr>
            <w:tcW w:type="dxa" w:w="3096"/>
            <w:tcMar>
              <w:top w:w="130" w:type="dxa"/>
              <w:start w:w="140" w:type="dxa"/>
              <w:bottom w:w="130" w:type="dxa"/>
              <w:end w:w="140" w:type="dxa"/>
            </w:tcMar>
          </w:tcPr>
          <w:p>
            <w:r>
              <w:rPr>
                <w:b/>
              </w:rPr>
              <w:t>Multiple currencies</w:t>
            </w:r>
          </w:p>
        </w:tc>
        <w:tc>
          <w:tcPr>
            <w:tcW w:type="dxa" w:w="6696"/>
            <w:tcMar>
              <w:top w:w="130" w:type="dxa"/>
              <w:start w:w="140" w:type="dxa"/>
              <w:bottom w:w="130" w:type="dxa"/>
              <w:end w:w="140" w:type="dxa"/>
            </w:tcMar>
          </w:tcPr>
          <w:p>
            <w:r>
              <w:t>Export and analyze one currency at a time.</w:t>
            </w:r>
          </w:p>
        </w:tc>
      </w:tr>
      <w:tr>
        <w:tc>
          <w:tcPr>
            <w:tcW w:type="dxa" w:w="3096"/>
            <w:shd w:fill="EEF6FA"/>
            <w:tcMar>
              <w:top w:w="130" w:type="dxa"/>
              <w:start w:w="140" w:type="dxa"/>
              <w:bottom w:w="130" w:type="dxa"/>
              <w:end w:w="140" w:type="dxa"/>
            </w:tcMar>
          </w:tcPr>
          <w:p>
            <w:r>
              <w:rPr>
                <w:b/>
              </w:rPr>
              <w:t>Workbook cannot open</w:t>
            </w:r>
          </w:p>
        </w:tc>
        <w:tc>
          <w:tcPr>
            <w:tcW w:type="dxa" w:w="6696"/>
            <w:shd w:fill="EEF6FA"/>
            <w:tcMar>
              <w:top w:w="130" w:type="dxa"/>
              <w:start w:w="140" w:type="dxa"/>
              <w:bottom w:w="130" w:type="dxa"/>
              <w:end w:w="140" w:type="dxa"/>
            </w:tcMar>
          </w:tcPr>
          <w:p>
            <w:r>
              <w:t>Download a fresh, unlocked .xlsx file.</w:t>
            </w:r>
          </w:p>
        </w:tc>
      </w:tr>
      <w:tr>
        <w:tc>
          <w:tcPr>
            <w:tcW w:type="dxa" w:w="3096"/>
            <w:tcMar>
              <w:top w:w="130" w:type="dxa"/>
              <w:start w:w="140" w:type="dxa"/>
              <w:bottom w:w="130" w:type="dxa"/>
              <w:end w:w="140" w:type="dxa"/>
            </w:tcMar>
          </w:tcPr>
          <w:p>
            <w:r>
              <w:rPr>
                <w:b/>
              </w:rPr>
              <w:t>Settlement only</w:t>
            </w:r>
          </w:p>
        </w:tc>
        <w:tc>
          <w:tcPr>
            <w:tcW w:type="dxa" w:w="6696"/>
            <w:tcMar>
              <w:top w:w="130" w:type="dxa"/>
              <w:start w:w="140" w:type="dxa"/>
              <w:bottom w:w="130" w:type="dxa"/>
              <w:end w:w="140" w:type="dxa"/>
            </w:tcMar>
          </w:tcPr>
          <w:p>
            <w:r>
              <w:t>The payout or reserve table was unavailable; bank payout cannot be confirmed.</w:t>
            </w:r>
          </w:p>
        </w:tc>
      </w:tr>
      <w:tr>
        <w:tc>
          <w:tcPr>
            <w:tcW w:type="dxa" w:w="3096"/>
            <w:shd w:fill="EEF6FA"/>
            <w:tcMar>
              <w:top w:w="130" w:type="dxa"/>
              <w:start w:w="140" w:type="dxa"/>
              <w:bottom w:w="130" w:type="dxa"/>
              <w:end w:w="140" w:type="dxa"/>
            </w:tcMar>
          </w:tcPr>
          <w:p>
            <w:r>
              <w:rPr>
                <w:b/>
              </w:rPr>
              <w:t>Math needs review</w:t>
            </w:r>
          </w:p>
        </w:tc>
        <w:tc>
          <w:tcPr>
            <w:tcW w:type="dxa" w:w="6696"/>
            <w:shd w:fill="EEF6FA"/>
            <w:tcMar>
              <w:top w:w="130" w:type="dxa"/>
              <w:start w:w="140" w:type="dxa"/>
              <w:bottom w:w="130" w:type="dxa"/>
              <w:end w:w="140" w:type="dxa"/>
            </w:tcMar>
          </w:tcPr>
          <w:p>
            <w:r>
              <w:t>Open the Review Queue and compare the referenced rows with Seller Center.</w:t>
            </w:r>
          </w:p>
        </w:tc>
      </w:tr>
    </w:tbl>
    <w:p>
      <w:r>
        <w:br w:type="page"/>
      </w:r>
    </w:p>
    <w:p>
      <w:pPr>
        <w:keepNext/>
        <w:spacing w:after="100"/>
      </w:pPr>
      <w:r>
        <w:rPr>
          <w:rFonts w:ascii="Courier New" w:hAnsi="Courier New" w:eastAsia="Courier New"/>
          <w:b/>
          <w:color w:val="258C8B"/>
          <w:sz w:val="17"/>
        </w:rPr>
        <w:t>VIDEO-READY</w:t>
      </w:r>
    </w:p>
    <w:p>
      <w:pPr>
        <w:pStyle w:val="Heading1"/>
        <w:keepNext/>
      </w:pPr>
      <w:r>
        <w:t>The reveal works in a vertical frame</w:t>
      </w: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083"/>
        <w:gridCol w:w="5083"/>
      </w:tblGrid>
      <w:tr>
        <w:tc>
          <w:tcPr>
            <w:tcW w:type="dxa" w:w="4104"/>
          </w:tcPr>
          <w:p>
            <w:pPr>
              <w:jc w:val="center"/>
            </w:pPr>
            <w:r>
              <w:drawing>
                <wp:inline xmlns:a="http://schemas.openxmlformats.org/drawingml/2006/main" xmlns:pic="http://schemas.openxmlformats.org/drawingml/2006/picture">
                  <wp:extent cx="2194560" cy="4749253"/>
                  <wp:docPr id="5" name="Picture 5"/>
                  <wp:cNvGraphicFramePr>
                    <a:graphicFrameLocks noChangeAspect="1"/>
                  </wp:cNvGraphicFramePr>
                  <a:graphic>
                    <a:graphicData uri="http://schemas.openxmlformats.org/drawingml/2006/picture">
                      <pic:pic>
                        <pic:nvPicPr>
                          <pic:cNvPr id="0" name="05-mobile-demo-reveal.jpg"/>
                          <pic:cNvPicPr/>
                        </pic:nvPicPr>
                        <pic:blipFill>
                          <a:blip r:embed="rId15"/>
                          <a:stretch>
                            <a:fillRect/>
                          </a:stretch>
                        </pic:blipFill>
                        <pic:spPr>
                          <a:xfrm>
                            <a:off x="0" y="0"/>
                            <a:ext cx="2194560" cy="4749253"/>
                          </a:xfrm>
                          <a:prstGeom prst="rect"/>
                        </pic:spPr>
                      </pic:pic>
                    </a:graphicData>
                  </a:graphic>
                </wp:inline>
              </w:drawing>
            </w:r>
          </w:p>
        </w:tc>
        <w:tc>
          <w:tcPr>
            <w:tcW w:type="dxa" w:w="5688"/>
            <w:tcMar>
              <w:top w:w="100" w:type="dxa"/>
              <w:start w:w="160" w:type="dxa"/>
              <w:bottom w:w="100" w:type="dxa"/>
              <w:end w:w="100" w:type="dxa"/>
            </w:tcMar>
          </w:tcPr>
          <w:p>
            <w:r>
              <w:rPr>
                <w:rFonts w:ascii="Courier New" w:hAnsi="Courier New" w:eastAsia="Courier New"/>
                <w:b/>
                <w:color w:val="258C8B"/>
                <w:sz w:val="16"/>
              </w:rPr>
              <w:t>60-SECOND FLOW</w:t>
            </w:r>
          </w:p>
          <w:p>
            <w:pPr>
              <w:pStyle w:val="ListBullet"/>
            </w:pPr>
            <w:r>
              <w:t>Hook: What happened to my payout?</w:t>
            </w:r>
          </w:p>
          <w:p>
            <w:pPr>
              <w:pStyle w:val="ListBullet"/>
            </w:pPr>
            <w:r>
              <w:t>Proof: no plugin, login, or upload.</w:t>
            </w:r>
          </w:p>
          <w:p>
            <w:pPr>
              <w:pStyle w:val="ListBullet"/>
            </w:pPr>
            <w:r>
              <w:t>Click the fictional demo.</w:t>
            </w:r>
          </w:p>
          <w:p>
            <w:pPr>
              <w:pStyle w:val="ListBullet"/>
            </w:pPr>
            <w:r>
              <w:t>Pause on the large payout reveal.</w:t>
            </w:r>
          </w:p>
          <w:p>
            <w:pPr>
              <w:pStyle w:val="ListBullet"/>
            </w:pPr>
            <w:r>
              <w:t>Scroll through the payout trail.</w:t>
            </w:r>
          </w:p>
          <w:p>
            <w:pPr>
              <w:pStyle w:val="ListBullet"/>
            </w:pPr>
            <w:r>
              <w:t>Show deductions and Review Queue.</w:t>
            </w:r>
          </w:p>
          <w:p>
            <w:pPr>
              <w:pStyle w:val="ListBullet"/>
            </w:pPr>
            <w:r>
              <w:t>End on the CSV downloads and bookmark CTA.</w:t>
            </w:r>
          </w:p>
        </w:tc>
      </w:tr>
    </w:tbl>
    <w:tbl>
      <w:tblPr>
        <w:tblW w:type="auto" w:w="0"/>
        <w:jc w:val="center"/>
        <w:tblLayout w:type="fixed"/>
        <w:tblLook w:firstColumn="1" w:firstRow="1" w:lastColumn="0" w:lastRow="0" w:noHBand="0" w:noVBand="1" w:val="04A0"/>
        <w:tblBorders>
          <w:top w:val="single" w:sz="0" w:color="FBEDEF"/>
          <w:left w:val="single" w:sz="0" w:color="FBEDEF"/>
          <w:bottom w:val="single" w:sz="0" w:color="FBEDEF"/>
          <w:right w:val="single" w:sz="0" w:color="FBEDEF"/>
          <w:insideH w:val="single" w:sz="0" w:color="FBEDEF"/>
          <w:insideV w:val="single" w:sz="0" w:color="FBEDEF"/>
        </w:tblBorders>
      </w:tblPr>
      <w:tblGrid>
        <w:gridCol w:w="173"/>
        <w:gridCol w:w="9648"/>
      </w:tblGrid>
      <w:tr>
        <w:tc>
          <w:tcPr>
            <w:tcW w:type="dxa" w:w="5083"/>
            <w:shd w:fill="C95E67"/>
            <w:tcMar>
              <w:top w:w="0" w:type="dxa"/>
              <w:start w:w="0" w:type="dxa"/>
              <w:bottom w:w="0" w:type="dxa"/>
              <w:end w:w="0" w:type="dxa"/>
            </w:tcMar>
          </w:tcPr>
          <w:p/>
        </w:tc>
        <w:tc>
          <w:tcPr>
            <w:tcW w:type="dxa" w:w="5083"/>
            <w:shd w:fill="FBEDEF"/>
            <w:tcMar>
              <w:top w:w="150" w:type="dxa"/>
              <w:start w:w="180" w:type="dxa"/>
              <w:bottom w:w="150" w:type="dxa"/>
              <w:end w:w="180" w:type="dxa"/>
            </w:tcMar>
          </w:tcPr>
          <w:p>
            <w:pPr>
              <w:spacing w:after="60"/>
            </w:pPr>
            <w:r>
              <w:rPr>
                <w:rFonts w:ascii="Arial" w:hAnsi="Arial" w:eastAsia="Arial"/>
                <w:b/>
                <w:color w:val="10253F"/>
                <w:sz w:val="20"/>
              </w:rPr>
              <w:t>Public recording rule</w:t>
            </w:r>
          </w:p>
          <w:p>
            <w:pPr>
              <w:spacing w:after="0"/>
            </w:pPr>
            <w:r>
              <w:rPr>
                <w:rFonts w:ascii="Arial" w:hAnsi="Arial" w:eastAsia="Arial"/>
                <w:color w:val="526B7C"/>
                <w:sz w:val="19"/>
              </w:rPr>
              <w:t>Use fictional data only. Crop out browser tabs, local file paths, unrelated desktop content, and any real seller or customer information.</w:t>
            </w:r>
          </w:p>
        </w:tc>
      </w:tr>
    </w:tbl>
    <w:p>
      <w:pPr>
        <w:spacing w:after="0"/>
      </w:pPr>
    </w:p>
    <w:p>
      <w:pPr>
        <w:pStyle w:val="Heading2"/>
        <w:keepNext/>
      </w:pPr>
      <w:r>
        <w:t>Privacy and product boundary</w:t>
      </w:r>
    </w:p>
    <w:p>
      <w:r>
        <w:t>Payout Lens requires no plugin, installation, login, API key, server, analytics, or cloud upload. It explains signed amounts and arithmetic in the exported report. It does not inspect bank activity or include product costs, ad spend, or outside shipping costs.</w:t>
      </w:r>
    </w:p>
    <w:p>
      <w:r>
        <w:t>Payout Lens is not affiliated with TikTok. Verify important totals in Seller Center. It is not accounting, tax, legal, or financial advice.</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ourier New" w:hAnsi="Courier New" w:eastAsia="Courier New"/>
        <w:b/>
        <w:color w:val="526B7C"/>
        <w:sz w:val="15"/>
      </w:rPr>
      <w:t xml:space="preserve">LOCAL TIKTOK SHOP SETTLEMENT EXPLAINER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040"/>
      <w:gridCol w:w="5040"/>
    </w:tblGrid>
    <w:tr>
      <w:tc>
        <w:tcPr>
          <w:tcW w:type="dxa" w:w="5040"/>
        </w:tcPr>
        <w:p>
          <w:r>
            <w:rPr>
              <w:rFonts w:ascii="Courier New" w:hAnsi="Courier New" w:eastAsia="Courier New"/>
              <w:b/>
              <w:color w:val="10253F"/>
              <w:sz w:val="16"/>
            </w:rPr>
            <w:t>PAYOUT LENS</w:t>
          </w:r>
        </w:p>
      </w:tc>
      <w:tc>
        <w:tcPr>
          <w:tcW w:type="dxa" w:w="5040"/>
        </w:tcPr>
        <w:p>
          <w:pPr>
            <w:jc w:val="right"/>
          </w:pPr>
          <w:r>
            <w:rPr>
              <w:rFonts w:ascii="Courier New" w:hAnsi="Courier New" w:eastAsia="Courier New"/>
              <w:b/>
              <w:color w:val="258C8B"/>
              <w:sz w:val="16"/>
            </w:rPr>
            <w:t>USER GUIDE  /  0.1.0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eastAsia="Arial"/>
      <w:color w:val="1025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ascii="Arial" w:hAnsi="Arial" w:eastAsia="Arial"/>
      <w:b/>
      <w:bCs/>
      <w:color w:val="10253F"/>
      <w:sz w:val="5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10253F"/>
      <w:sz w:val="3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eastAsia="Arial"/>
      <w:b/>
      <w:bCs/>
      <w:color w:val="245A7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rPr>
      <w:rFonts w:ascii="Arial" w:hAnsi="Arial" w:eastAsia="Arial"/>
      <w:color w:val="1025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contextualSpacing/>
    </w:pPr>
    <w:rPr>
      <w:rFonts w:ascii="Arial" w:hAnsi="Arial" w:eastAsia="Arial"/>
      <w:color w:val="10253F"/>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Payout Lens User Guide</dc:title>
  <dc:subject>Screenshot guide for the local TikTok Shop settlement explainer</dc:subject>
  <dc:creator>Sonny Automation</dc:creator>
  <cp:keywords>Payout Lens, TikTok Shop, settlement report, local HTML</cp:keywords>
  <dc:description>generated by python-docx</dc:description>
  <cp:lastModifiedBy/>
  <cp:revision>1</cp:revision>
  <dcterms:created xsi:type="dcterms:W3CDTF">2013-12-23T23:15:00Z</dcterms:created>
  <dcterms:modified xsi:type="dcterms:W3CDTF">2013-12-23T23:15:00Z</dcterms:modified>
  <cp:category/>
</cp:coreProperties>
</file>